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安庆</w:t>
      </w:r>
      <w:r>
        <w:rPr>
          <w:rFonts w:hint="eastAsia" w:ascii="方正小标宋简体" w:hAnsi="华文中宋" w:eastAsia="方正小标宋简体"/>
          <w:sz w:val="36"/>
          <w:szCs w:val="36"/>
        </w:rPr>
        <w:t>市教师教学创新团队评选指标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评审指标</w:t>
            </w:r>
          </w:p>
        </w:tc>
        <w:tc>
          <w:tcPr>
            <w:tcW w:w="67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团队师德师风高尚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面贯彻党的教育方针，坚持“四个相统一”，推动“三全育人”。团队教师注重坚守专业精神、职业精神和工匠精神，践行社会主义核心价值观，以德立身、以德立学、以德立教，广受师生好评。团队负责人及教师无违反师德师风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团队结构科学合理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专业结构和年龄结构合理，涵盖公共基础课、专业基础课、专业核心课、实习指导教师和企业兼职教师，骨干成员一般10至15人且相对稳定。团队中“双师型”教师占比超过一半，具有高级专业技术职称（职务）或相关高级以上职业资格证教师占30%以上；骨干成员有行业企业高级技术人员不少于3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190" w:type="dxa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保障措施完善健全</w:t>
            </w:r>
          </w:p>
        </w:tc>
        <w:tc>
          <w:tcPr>
            <w:tcW w:w="6729" w:type="dxa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学校层面：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具有长期稳定的合作企业和产教融合实训基地，实习实训设施满足专业实际需要。教师专业发展制度健全。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团队层面：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有相应管理制度，保证团队中兼职教师来源、数量和质量，确保团队专任教师到企业开展实践的常态化和有效性。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团队负责人能力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突出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jc w:val="both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带头人师德高尚、事业心强、理念先进、治学严谨、富有开拓创新精神。原则上应具有高级职称，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一般不超过55周岁。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熟悉本专业相关标准，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教科研能力强，在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本专业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的技术领域有一定的影响力和知名度；带头人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系校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精品课程（含在线开放课程）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核心成员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牵头建有市级以上名师工作室、教师技艺技能传承创新平台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技能大师工作室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或开展工学一体化专业教学模式改革，编制任务驱动型、活页式等专业课程教材并在校内使用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效果好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教学改革基础良好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重视“三教”改革，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职业教育专业教学资源库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建设、教材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实验实训中取得一定教改成果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级以上工学一体化院校建设或专业建设，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并广泛应用于教学实践。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专业特色优势明显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承担集团化办学、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中国特色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学徒制试点、订单培养等工作。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本专业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毕业生对口就业率高，师生在各级技能大赛中获奖。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校企合作情况良好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jc w:val="both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团队成员共同参与校企合作课程的开发、工学结合教材的建设、产教融合的产品研发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企业横向课题研究，成果显著。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社会服务成效突出</w:t>
            </w:r>
          </w:p>
        </w:tc>
        <w:tc>
          <w:tcPr>
            <w:tcW w:w="6729" w:type="dxa"/>
            <w:vAlign w:val="center"/>
          </w:tcPr>
          <w:p>
            <w:pPr>
              <w:spacing w:line="320" w:lineRule="exact"/>
              <w:jc w:val="both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依托团队人力资源和技术优势，开展职业培训、技能鉴定、技术服务等社会服务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或参与政府相关部门或行业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培训的团队。</w:t>
            </w:r>
            <w:bookmarkStart w:id="0" w:name="_GoBack"/>
            <w:bookmarkEnd w:id="0"/>
          </w:p>
        </w:tc>
      </w:tr>
    </w:tbl>
    <w:p/>
    <w:sectPr>
      <w:footerReference r:id="rId3" w:type="default"/>
      <w:footerReference r:id="rId4" w:type="even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28A33-B1E6-49C5-B1D8-2F9578451D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200F8F-6DC9-40B2-A144-8DB605DBB6A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8D044E-2201-4806-95B8-99B2028138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BCDF848-E51C-4AD5-B8A0-B95C2AAA18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F9CFBD-6D9C-4189-8FCF-C721321023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DdkMGU2M2JlNTI0YjVlYTc4MDIyZGI4MmM5YmMifQ=="/>
  </w:docVars>
  <w:rsids>
    <w:rsidRoot w:val="4F3C199C"/>
    <w:rsid w:val="00110F9B"/>
    <w:rsid w:val="001F636A"/>
    <w:rsid w:val="003706AF"/>
    <w:rsid w:val="00394499"/>
    <w:rsid w:val="00605BBD"/>
    <w:rsid w:val="009838FD"/>
    <w:rsid w:val="00E96EE4"/>
    <w:rsid w:val="00EC49DE"/>
    <w:rsid w:val="03276C97"/>
    <w:rsid w:val="03EF1A15"/>
    <w:rsid w:val="0D1B5570"/>
    <w:rsid w:val="12C30169"/>
    <w:rsid w:val="15E64DC9"/>
    <w:rsid w:val="1A784610"/>
    <w:rsid w:val="23737B15"/>
    <w:rsid w:val="29147EC7"/>
    <w:rsid w:val="42E12896"/>
    <w:rsid w:val="446133BB"/>
    <w:rsid w:val="4F3C199C"/>
    <w:rsid w:val="545F7ABE"/>
    <w:rsid w:val="58C60761"/>
    <w:rsid w:val="5E5950F6"/>
    <w:rsid w:val="61316FBE"/>
    <w:rsid w:val="624948B3"/>
    <w:rsid w:val="656C6F55"/>
    <w:rsid w:val="7000068D"/>
    <w:rsid w:val="70820965"/>
    <w:rsid w:val="70C646C4"/>
    <w:rsid w:val="78516C80"/>
    <w:rsid w:val="786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2244</Words>
  <Characters>2289</Characters>
  <Lines>22</Lines>
  <Paragraphs>6</Paragraphs>
  <TotalTime>30</TotalTime>
  <ScaleCrop>false</ScaleCrop>
  <LinksUpToDate>false</LinksUpToDate>
  <CharactersWithSpaces>2556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2023-09-13T00:57:00Z</dcterms:created>
  <dc:creator>樵茗渔醇</dc:creator>
  <cp:lastModifiedBy>明光人，张玉国</cp:lastModifiedBy>
  <cp:lastPrinted>2023-09-14T06:55:00Z</cp:lastPrinted>
  <dcterms:modified xsi:type="dcterms:W3CDTF">2023-09-15T02:42:49Z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7EB2ECD2BFAC4BE4B31714A8D5B26EDB_13</vt:lpwstr>
  </property>
</Properties>
</file>